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p w:rsidR="00275EF8" w:rsidP="00275EF8" w14:paraId="18A410AD" w14:textId="77777777">
      <w:pPr>
        <w:tabs>
          <w:tab w:val="left" w:leader="underscore" w:pos="3326"/>
        </w:tabs>
        <w:autoSpaceDE w:val="0"/>
        <w:autoSpaceDN w:val="0"/>
        <w:adjustRightInd w:val="0"/>
        <w:spacing w:before="120" w:after="240" w:line="240" w:lineRule="auto"/>
        <w:rPr>
          <w:rFonts w:ascii="Times New Roman" w:hAnsi="Times New Roman"/>
          <w:sz w:val="24"/>
          <w:szCs w:val="24"/>
        </w:rPr>
      </w:pPr>
    </w:p>
    <w:tbl>
      <w:tblPr>
        <w:tblpPr w:leftFromText="180" w:rightFromText="180" w:vertAnchor="text" w:horzAnchor="page" w:tblpX="1705" w:tblpY="-63"/>
        <w:tblW w:w="0" w:type="auto"/>
        <w:tblLook w:val="0000"/>
      </w:tblPr>
      <w:tblGrid>
        <w:gridCol w:w="670"/>
        <w:gridCol w:w="2916"/>
        <w:gridCol w:w="1189"/>
        <w:gridCol w:w="2536"/>
      </w:tblGrid>
      <w:tr w14:paraId="5E3E0201" w14:textId="77777777" w:rsidTr="00275EF8">
        <w:tblPrEx>
          <w:tblW w:w="0" w:type="auto"/>
          <w:tblLook w:val="0000"/>
        </w:tblPrEx>
        <w:tc>
          <w:tcPr>
            <w:tcW w:w="670" w:type="dxa"/>
            <w:tcBorders>
              <w:top w:val="nil"/>
              <w:left w:val="nil"/>
              <w:bottom w:val="nil"/>
              <w:right w:val="nil"/>
            </w:tcBorders>
          </w:tcPr>
          <w:p w:rsidR="00CC20AF" w:rsidRPr="00275EF8" w:rsidP="00CC20AF" w14:paraId="692072DE" w14:textId="77777777">
            <w:pPr>
              <w:widowControl/>
              <w:tabs>
                <w:tab w:val="left" w:pos="360"/>
              </w:tabs>
              <w:autoSpaceDE w:val="0"/>
              <w:autoSpaceDN w:val="0"/>
              <w:adjustRightInd w:val="0"/>
              <w:spacing w:after="0" w:line="240" w:lineRule="auto"/>
              <w:rPr>
                <w:rFonts w:ascii="Times New Roman" w:eastAsia="Times New Roman" w:hAnsi="Times New Roman"/>
                <w:i/>
                <w:iCs/>
                <w:sz w:val="24"/>
                <w:szCs w:val="20"/>
                <w:lang w:val="en-US"/>
              </w:rPr>
            </w:pPr>
            <w:r w:rsidRPr="00275EF8">
              <w:rPr>
                <w:rFonts w:ascii="Times New Roman" w:eastAsia="Times New Roman" w:hAnsi="Times New Roman"/>
                <w:iCs/>
                <w:sz w:val="24"/>
                <w:szCs w:val="20"/>
                <w:lang w:val="en-US"/>
              </w:rPr>
              <w:t>Riga</w:t>
            </w:r>
          </w:p>
        </w:tc>
        <w:tc>
          <w:tcPr>
            <w:tcW w:w="2916" w:type="dxa"/>
            <w:tcBorders>
              <w:top w:val="nil"/>
              <w:left w:val="nil"/>
              <w:bottom w:val="single" w:sz="4" w:space="0" w:color="auto"/>
              <w:right w:val="nil"/>
            </w:tcBorders>
          </w:tcPr>
          <w:p w:rsidR="00CC20AF" w:rsidRPr="00275EF8" w:rsidP="00CC20AF" w14:paraId="1CE3AD6E" w14:textId="21B56459">
            <w:pPr>
              <w:widowControl/>
              <w:tabs>
                <w:tab w:val="left" w:pos="3960"/>
              </w:tabs>
              <w:autoSpaceDE w:val="0"/>
              <w:autoSpaceDN w:val="0"/>
              <w:adjustRightInd w:val="0"/>
              <w:spacing w:after="0" w:line="240" w:lineRule="auto"/>
              <w:rPr>
                <w:rFonts w:ascii="Times New Roman" w:eastAsia="Times New Roman" w:hAnsi="Times New Roman"/>
                <w:i/>
                <w:iCs/>
                <w:sz w:val="24"/>
                <w:szCs w:val="24"/>
                <w:lang w:val="en-US"/>
              </w:rPr>
            </w:pPr>
            <w:r w:rsidRPr="00883336">
              <w:rPr>
                <w:rFonts w:ascii="Times New Roman" w:eastAsia="Times New Roman" w:hAnsi="Times New Roman"/>
                <w:noProof/>
                <w:sz w:val="24"/>
                <w:szCs w:val="20"/>
              </w:rPr>
              <w:t>03.04.2025</w:t>
            </w:r>
          </w:p>
        </w:tc>
        <w:tc>
          <w:tcPr>
            <w:tcW w:w="1189" w:type="dxa"/>
            <w:tcBorders>
              <w:top w:val="nil"/>
              <w:left w:val="nil"/>
              <w:bottom w:val="nil"/>
              <w:right w:val="nil"/>
            </w:tcBorders>
          </w:tcPr>
          <w:p w:rsidR="00CC20AF" w:rsidRPr="00275EF8" w:rsidP="00CC20AF" w14:paraId="65811553" w14:textId="77777777">
            <w:pPr>
              <w:widowControl/>
              <w:tabs>
                <w:tab w:val="left" w:pos="360"/>
                <w:tab w:val="left" w:pos="3960"/>
              </w:tabs>
              <w:autoSpaceDE w:val="0"/>
              <w:autoSpaceDN w:val="0"/>
              <w:adjustRightInd w:val="0"/>
              <w:spacing w:after="0" w:line="240" w:lineRule="auto"/>
              <w:rPr>
                <w:rFonts w:ascii="Times New Roman" w:eastAsia="Times New Roman" w:hAnsi="Times New Roman"/>
                <w:i/>
                <w:iCs/>
                <w:sz w:val="24"/>
                <w:szCs w:val="24"/>
                <w:lang w:val="en-US"/>
              </w:rPr>
            </w:pPr>
            <w:r w:rsidRPr="00275EF8">
              <w:rPr>
                <w:rFonts w:ascii="Times New Roman" w:eastAsia="Times New Roman" w:hAnsi="Times New Roman"/>
                <w:iCs/>
                <w:sz w:val="24"/>
                <w:szCs w:val="24"/>
                <w:lang w:val="en-US"/>
              </w:rPr>
              <w:t>Reference</w:t>
            </w:r>
          </w:p>
        </w:tc>
        <w:tc>
          <w:tcPr>
            <w:tcW w:w="2536" w:type="dxa"/>
            <w:tcBorders>
              <w:top w:val="nil"/>
              <w:left w:val="nil"/>
              <w:bottom w:val="single" w:sz="4" w:space="0" w:color="auto"/>
              <w:right w:val="nil"/>
            </w:tcBorders>
          </w:tcPr>
          <w:p w:rsidR="00CC20AF" w:rsidRPr="00275EF8" w:rsidP="00CC20AF" w14:paraId="241BEC1E" w14:textId="7A5C8C0F">
            <w:pPr>
              <w:widowControl/>
              <w:tabs>
                <w:tab w:val="left" w:pos="360"/>
                <w:tab w:val="left" w:pos="3960"/>
              </w:tabs>
              <w:autoSpaceDE w:val="0"/>
              <w:autoSpaceDN w:val="0"/>
              <w:adjustRightInd w:val="0"/>
              <w:spacing w:after="0" w:line="240" w:lineRule="auto"/>
              <w:ind w:right="37"/>
              <w:rPr>
                <w:rFonts w:ascii="Times New Roman" w:eastAsia="Times New Roman" w:hAnsi="Times New Roman"/>
                <w:i/>
                <w:iCs/>
                <w:sz w:val="24"/>
                <w:szCs w:val="24"/>
                <w:lang w:val="en-US"/>
              </w:rPr>
            </w:pPr>
            <w:r w:rsidRPr="00B75F5A">
              <w:rPr>
                <w:rFonts w:ascii="Times New Roman" w:eastAsia="Times New Roman" w:hAnsi="Times New Roman"/>
                <w:noProof/>
                <w:sz w:val="24"/>
                <w:szCs w:val="20"/>
              </w:rPr>
              <w:t>4.1-42/28/1052</w:t>
            </w:r>
          </w:p>
        </w:tc>
      </w:tr>
    </w:tbl>
    <w:p w:rsidR="00275EF8" w:rsidRPr="00275EF8" w:rsidP="00275EF8" w14:paraId="0BDFC8AB" w14:textId="77777777">
      <w:pPr>
        <w:tabs>
          <w:tab w:val="left" w:leader="underscore" w:pos="3326"/>
        </w:tabs>
        <w:autoSpaceDE w:val="0"/>
        <w:autoSpaceDN w:val="0"/>
        <w:adjustRightInd w:val="0"/>
        <w:spacing w:before="120" w:after="240" w:line="240" w:lineRule="auto"/>
        <w:rPr>
          <w:rFonts w:ascii="Arial Narrow" w:eastAsia="Times New Roman" w:hAnsi="Arial Narrow" w:cs="Arial"/>
          <w:sz w:val="24"/>
          <w:szCs w:val="20"/>
          <w:lang w:val="en-US"/>
        </w:rPr>
      </w:pPr>
    </w:p>
    <w:p w:rsidR="00C02991" w:rsidRPr="00C02991" w:rsidP="00C02991" w14:paraId="21D7544C" w14:textId="77777777">
      <w:pPr>
        <w:widowControl/>
        <w:spacing w:after="0"/>
        <w:contextualSpacing/>
        <w:jc w:val="right"/>
        <w:rPr>
          <w:rFonts w:ascii="Times New Roman" w:hAnsi="Times New Roman"/>
          <w:b/>
          <w:bCs/>
          <w:sz w:val="24"/>
          <w:szCs w:val="24"/>
          <w:shd w:val="clear" w:color="auto" w:fill="FFFFFF"/>
          <w:lang w:val="en-GB"/>
        </w:rPr>
      </w:pPr>
      <w:r w:rsidRPr="00C02991">
        <w:rPr>
          <w:rFonts w:ascii="Times New Roman" w:hAnsi="Times New Roman"/>
          <w:b/>
          <w:bCs/>
          <w:sz w:val="24"/>
          <w:szCs w:val="24"/>
          <w:shd w:val="clear" w:color="auto" w:fill="FFFFFF"/>
          <w:lang w:val="en-GB"/>
        </w:rPr>
        <w:t>Ministry of Finance</w:t>
      </w:r>
    </w:p>
    <w:p w:rsidR="00C02991" w:rsidRPr="00C02991" w:rsidP="00C02991" w14:paraId="5CC9ADF7" w14:textId="77777777">
      <w:pPr>
        <w:widowControl/>
        <w:spacing w:after="0"/>
        <w:contextualSpacing/>
        <w:jc w:val="right"/>
        <w:rPr>
          <w:rFonts w:ascii="Times New Roman" w:hAnsi="Times New Roman"/>
          <w:b/>
          <w:bCs/>
          <w:sz w:val="24"/>
          <w:szCs w:val="24"/>
          <w:shd w:val="clear" w:color="auto" w:fill="FFFFFF"/>
          <w:lang w:val="en-GB"/>
        </w:rPr>
      </w:pPr>
      <w:r w:rsidRPr="00C02991">
        <w:rPr>
          <w:rFonts w:ascii="Times New Roman" w:hAnsi="Times New Roman"/>
          <w:b/>
          <w:bCs/>
          <w:sz w:val="24"/>
          <w:szCs w:val="24"/>
          <w:shd w:val="clear" w:color="auto" w:fill="FFFFFF"/>
          <w:lang w:val="en-GB"/>
        </w:rPr>
        <w:t>of the Republic of Estonia</w:t>
      </w:r>
    </w:p>
    <w:p w:rsidR="00C02991" w:rsidRPr="00C02991" w:rsidP="00C02991" w14:paraId="4023CC13" w14:textId="77777777">
      <w:pPr>
        <w:widowControl/>
        <w:spacing w:after="0"/>
        <w:contextualSpacing/>
        <w:jc w:val="right"/>
        <w:rPr>
          <w:rFonts w:ascii="Times New Roman" w:hAnsi="Times New Roman"/>
          <w:sz w:val="24"/>
          <w:szCs w:val="24"/>
          <w:shd w:val="clear" w:color="auto" w:fill="FFFFFF"/>
          <w:lang w:val="en-GB"/>
        </w:rPr>
      </w:pPr>
      <w:r w:rsidRPr="00C02991">
        <w:rPr>
          <w:rFonts w:ascii="Times New Roman" w:hAnsi="Times New Roman"/>
          <w:sz w:val="24"/>
          <w:szCs w:val="24"/>
          <w:shd w:val="clear" w:color="auto" w:fill="FFFFFF"/>
          <w:lang w:val="en-GB"/>
        </w:rPr>
        <w:t>Suur-Ameerika</w:t>
      </w:r>
      <w:r w:rsidRPr="00C02991">
        <w:rPr>
          <w:rFonts w:ascii="Times New Roman" w:hAnsi="Times New Roman"/>
          <w:sz w:val="24"/>
          <w:szCs w:val="24"/>
          <w:shd w:val="clear" w:color="auto" w:fill="FFFFFF"/>
          <w:lang w:val="en-GB"/>
        </w:rPr>
        <w:t xml:space="preserve"> 1, Tallinn 10122</w:t>
      </w:r>
    </w:p>
    <w:p w:rsidR="00C02991" w:rsidRPr="00C02991" w:rsidP="00C02991" w14:paraId="3858CB98" w14:textId="77777777">
      <w:pPr>
        <w:widowControl/>
        <w:spacing w:after="0"/>
        <w:contextualSpacing/>
        <w:jc w:val="right"/>
        <w:rPr>
          <w:rFonts w:ascii="Times New Roman" w:hAnsi="Times New Roman"/>
          <w:color w:val="414142"/>
          <w:sz w:val="24"/>
          <w:szCs w:val="24"/>
          <w:shd w:val="clear" w:color="auto" w:fill="FFFFFF"/>
          <w:lang w:val="en-GB"/>
        </w:rPr>
      </w:pPr>
      <w:r w:rsidRPr="00C02991">
        <w:rPr>
          <w:rFonts w:ascii="Times New Roman" w:hAnsi="Times New Roman"/>
          <w:sz w:val="24"/>
          <w:szCs w:val="24"/>
          <w:shd w:val="clear" w:color="auto" w:fill="FFFFFF"/>
          <w:lang w:val="en-GB"/>
        </w:rPr>
        <w:t xml:space="preserve">E-mail: </w:t>
      </w:r>
      <w:hyperlink r:id="rId7" w:history="1">
        <w:r w:rsidRPr="00C02991">
          <w:rPr>
            <w:rFonts w:ascii="Times New Roman" w:hAnsi="Times New Roman"/>
            <w:color w:val="0000FF"/>
            <w:sz w:val="24"/>
            <w:szCs w:val="24"/>
            <w:u w:val="single"/>
            <w:shd w:val="clear" w:color="auto" w:fill="FFFFFF"/>
            <w:lang w:val="en-GB"/>
          </w:rPr>
          <w:t>info@fin.ee</w:t>
        </w:r>
      </w:hyperlink>
    </w:p>
    <w:p w:rsidR="00C02991" w:rsidP="00C02991" w14:paraId="71843C18" w14:textId="77777777">
      <w:pPr>
        <w:autoSpaceDE w:val="0"/>
        <w:autoSpaceDN w:val="0"/>
        <w:adjustRightInd w:val="0"/>
        <w:spacing w:after="0"/>
        <w:jc w:val="right"/>
        <w:rPr>
          <w:rFonts w:ascii="Times New Roman" w:eastAsia="Times New Roman" w:hAnsi="Times New Roman"/>
          <w:iCs/>
          <w:noProof/>
          <w:sz w:val="24"/>
          <w:szCs w:val="20"/>
          <w:lang w:val="en-US"/>
        </w:rPr>
      </w:pPr>
    </w:p>
    <w:p w:rsidR="00275EF8" w:rsidRPr="00C02991" w:rsidP="00C02991" w14:paraId="2321F59B" w14:textId="44B5121A">
      <w:pPr>
        <w:autoSpaceDE w:val="0"/>
        <w:autoSpaceDN w:val="0"/>
        <w:adjustRightInd w:val="0"/>
        <w:spacing w:after="0"/>
        <w:ind w:right="4973"/>
        <w:rPr>
          <w:rFonts w:ascii="Times New Roman" w:eastAsia="Times New Roman" w:hAnsi="Times New Roman"/>
          <w:i/>
          <w:sz w:val="24"/>
          <w:szCs w:val="20"/>
          <w:lang w:val="en-US"/>
        </w:rPr>
      </w:pPr>
      <w:r w:rsidRPr="00C02991">
        <w:rPr>
          <w:rFonts w:ascii="Times New Roman" w:eastAsia="Times New Roman" w:hAnsi="Times New Roman"/>
          <w:i/>
          <w:noProof/>
          <w:sz w:val="24"/>
          <w:szCs w:val="20"/>
          <w:lang w:val="en-US"/>
        </w:rPr>
        <w:t>Request for Information on the Legal Framework for Goods and Services Lotteries</w:t>
      </w:r>
    </w:p>
    <w:p w:rsidR="00275EF8" w:rsidRPr="00275EF8" w:rsidP="00C02991" w14:paraId="68D7F899" w14:textId="77777777">
      <w:pPr>
        <w:autoSpaceDE w:val="0"/>
        <w:autoSpaceDN w:val="0"/>
        <w:adjustRightInd w:val="0"/>
        <w:spacing w:after="0"/>
        <w:rPr>
          <w:rFonts w:ascii="Times New Roman" w:eastAsia="Times New Roman" w:hAnsi="Times New Roman"/>
          <w:iCs/>
          <w:sz w:val="24"/>
          <w:szCs w:val="20"/>
          <w:lang w:val="en-US"/>
        </w:rPr>
      </w:pPr>
    </w:p>
    <w:p w:rsidR="00C02991" w:rsidRPr="00C02991" w:rsidP="00C02991" w14:paraId="12A94229" w14:textId="77777777">
      <w:pPr>
        <w:autoSpaceDE w:val="0"/>
        <w:autoSpaceDN w:val="0"/>
        <w:adjustRightInd w:val="0"/>
        <w:spacing w:after="0"/>
        <w:contextualSpacing/>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Dear Sir/Madam,</w:t>
      </w:r>
    </w:p>
    <w:p w:rsidR="00C02991" w:rsidRPr="00C02991" w:rsidP="00C02991" w14:paraId="025BD692" w14:textId="77777777">
      <w:pPr>
        <w:autoSpaceDE w:val="0"/>
        <w:autoSpaceDN w:val="0"/>
        <w:adjustRightInd w:val="0"/>
        <w:spacing w:after="0"/>
        <w:contextualSpacing/>
        <w:rPr>
          <w:rFonts w:ascii="Times New Roman" w:hAnsi="Times New Roman"/>
          <w:sz w:val="24"/>
          <w:szCs w:val="24"/>
          <w:shd w:val="clear" w:color="auto" w:fill="FFFFFF"/>
          <w:lang w:val="en-US"/>
        </w:rPr>
      </w:pPr>
    </w:p>
    <w:p w:rsidR="00C02991" w:rsidRPr="00C02991" w:rsidP="00C02991" w14:paraId="184350F2"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The Ministry of Finance of the Republic of Latvia kindly requests information regarding the legal framework applicable to lotteries where consumers purchase a product and register for a prize draw (goods and service lotteries) in Estonia.</w:t>
      </w:r>
    </w:p>
    <w:p w:rsidR="00C02991" w:rsidRPr="00C02991" w:rsidP="00C02991" w14:paraId="69850657"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Latvia is currently working on improving the regulatory framework for goods and services lotteries to accelerate the registration process and enhance socially responsible lottery organization. In Latvia, such lotteries are regulated by a specific legal act Law on Lotteries of Goods and Services</w:t>
      </w:r>
      <w:r>
        <w:rPr>
          <w:rStyle w:val="FootnoteReference"/>
          <w:rFonts w:ascii="Times New Roman" w:hAnsi="Times New Roman"/>
          <w:sz w:val="24"/>
          <w:szCs w:val="24"/>
          <w:shd w:val="clear" w:color="auto" w:fill="FFFFFF"/>
          <w:lang w:val="en-US"/>
        </w:rPr>
        <w:footnoteReference w:id="2"/>
      </w:r>
      <w:r w:rsidRPr="00C02991">
        <w:rPr>
          <w:rFonts w:ascii="Times New Roman" w:hAnsi="Times New Roman"/>
          <w:sz w:val="24"/>
          <w:szCs w:val="24"/>
          <w:shd w:val="clear" w:color="auto" w:fill="FFFFFF"/>
          <w:lang w:val="en-US"/>
        </w:rPr>
        <w:t>. During the regulatory development process, non-governmental organizations pointed out that, among the Baltic states, Latvia is the only country with a dedicated regulation in this field, which impacts companies' ability to organize large-scale lotteries across the Baltic region.</w:t>
      </w:r>
    </w:p>
    <w:p w:rsidR="00C02991" w:rsidRPr="00C02991" w:rsidP="00C02991" w14:paraId="2B3D1A26" w14:textId="6DB0C402">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To ensure a comprehensive assessment of the necessary regulatory changes, we kindly ask for information on the organization of such lotteries in Estonia.</w:t>
      </w:r>
      <w:r>
        <w:rPr>
          <w:rFonts w:ascii="Times New Roman" w:hAnsi="Times New Roman"/>
          <w:sz w:val="24"/>
          <w:szCs w:val="24"/>
          <w:shd w:val="clear" w:color="auto" w:fill="FFFFFF"/>
          <w:lang w:val="en-US"/>
        </w:rPr>
        <w:t xml:space="preserve"> </w:t>
      </w:r>
      <w:r w:rsidRPr="00C02991">
        <w:rPr>
          <w:rFonts w:ascii="Times New Roman" w:hAnsi="Times New Roman"/>
          <w:sz w:val="24"/>
          <w:szCs w:val="24"/>
          <w:shd w:val="clear" w:color="auto" w:fill="FFFFFF"/>
          <w:lang w:val="en-US"/>
        </w:rPr>
        <w:t>We would appreciate receiving details on the following aspects:</w:t>
      </w:r>
    </w:p>
    <w:p w:rsidR="00C02991" w:rsidRPr="00C02991" w:rsidP="00C02991" w14:paraId="6220FA6C"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1.</w:t>
      </w:r>
      <w:r w:rsidRPr="00C02991">
        <w:rPr>
          <w:rFonts w:ascii="Times New Roman" w:hAnsi="Times New Roman"/>
          <w:sz w:val="24"/>
          <w:szCs w:val="24"/>
          <w:shd w:val="clear" w:color="auto" w:fill="FFFFFF"/>
          <w:lang w:val="en-US"/>
        </w:rPr>
        <w:tab/>
        <w:t>Whether organizers of such lotteries are required to register with any state authority.</w:t>
      </w:r>
    </w:p>
    <w:p w:rsidR="00C02991" w:rsidRPr="00C02991" w:rsidP="00C02991" w14:paraId="2633DA2D"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2.</w:t>
      </w:r>
      <w:r w:rsidRPr="00C02991">
        <w:rPr>
          <w:rFonts w:ascii="Times New Roman" w:hAnsi="Times New Roman"/>
          <w:sz w:val="24"/>
          <w:szCs w:val="24"/>
          <w:shd w:val="clear" w:color="auto" w:fill="FFFFFF"/>
          <w:lang w:val="en-US"/>
        </w:rPr>
        <w:tab/>
        <w:t>Whether any taxes or state fees apply to such lotteries.</w:t>
      </w:r>
    </w:p>
    <w:p w:rsidR="00C02991" w:rsidRPr="00C02991" w:rsidP="00C02991" w14:paraId="2E45BB21"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3.</w:t>
      </w:r>
      <w:r w:rsidRPr="00C02991">
        <w:rPr>
          <w:rFonts w:ascii="Times New Roman" w:hAnsi="Times New Roman"/>
          <w:sz w:val="24"/>
          <w:szCs w:val="24"/>
          <w:shd w:val="clear" w:color="auto" w:fill="FFFFFF"/>
          <w:lang w:val="en-US"/>
        </w:rPr>
        <w:tab/>
        <w:t>Whether the winning individual is required to declare their prize to the tax authorities.</w:t>
      </w:r>
    </w:p>
    <w:p w:rsidR="00C02991" w:rsidRPr="00C02991" w:rsidP="00C02991" w14:paraId="44289F1B"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4.</w:t>
      </w:r>
      <w:r w:rsidRPr="00C02991">
        <w:rPr>
          <w:rFonts w:ascii="Times New Roman" w:hAnsi="Times New Roman"/>
          <w:sz w:val="24"/>
          <w:szCs w:val="24"/>
          <w:shd w:val="clear" w:color="auto" w:fill="FFFFFF"/>
          <w:lang w:val="en-US"/>
        </w:rPr>
        <w:tab/>
        <w:t>Whether there are any restrictions on organizing such lotteries, e.g., prohibitions on lotteries involving alcoholic beverages, gambling etc.</w:t>
      </w:r>
    </w:p>
    <w:p w:rsidR="00C02991" w:rsidRPr="00C02991" w:rsidP="00C02991" w14:paraId="656C9889"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5.</w:t>
      </w:r>
      <w:r w:rsidRPr="00C02991">
        <w:rPr>
          <w:rFonts w:ascii="Times New Roman" w:hAnsi="Times New Roman"/>
          <w:sz w:val="24"/>
          <w:szCs w:val="24"/>
          <w:shd w:val="clear" w:color="auto" w:fill="FFFFFF"/>
          <w:lang w:val="en-US"/>
        </w:rPr>
        <w:tab/>
        <w:t xml:space="preserve">Whether there are specific procedures for overseeing such lotteries, including checks on whether applicable taxes or fees have been paid. Please indicate which institution is </w:t>
      </w:r>
      <w:r w:rsidRPr="00C02991">
        <w:rPr>
          <w:rFonts w:ascii="Times New Roman" w:hAnsi="Times New Roman"/>
          <w:sz w:val="24"/>
          <w:szCs w:val="24"/>
          <w:shd w:val="clear" w:color="auto" w:fill="FFFFFF"/>
          <w:lang w:val="en-US"/>
        </w:rPr>
        <w:t>responsible for overseeing these lotteries.</w:t>
      </w:r>
    </w:p>
    <w:p w:rsidR="00C02991" w:rsidRPr="00C02991" w:rsidP="00C02991" w14:paraId="255E96B8"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Please provide references to the relevant legal acts and specific legal provisions applicable to the regulation of goods and services lotteries. Additionally, if these matters fall under the competence of another institution, we kindly request that you forward our inquiry accordingly.</w:t>
      </w:r>
    </w:p>
    <w:p w:rsidR="00C02991" w:rsidRPr="00C02991" w:rsidP="00C02991" w14:paraId="38C8DB40"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p>
    <w:p w:rsidR="00C02991" w:rsidRPr="00C02991" w:rsidP="00C02991" w14:paraId="0C8FE7E4" w14:textId="77777777">
      <w:pPr>
        <w:autoSpaceDE w:val="0"/>
        <w:autoSpaceDN w:val="0"/>
        <w:adjustRightInd w:val="0"/>
        <w:spacing w:after="0"/>
        <w:ind w:firstLine="720"/>
        <w:contextualSpacing/>
        <w:jc w:val="both"/>
        <w:rPr>
          <w:rFonts w:ascii="Times New Roman" w:hAnsi="Times New Roman"/>
          <w:sz w:val="24"/>
          <w:szCs w:val="24"/>
          <w:shd w:val="clear" w:color="auto" w:fill="FFFFFF"/>
          <w:lang w:val="en-US"/>
        </w:rPr>
      </w:pPr>
      <w:r w:rsidRPr="00C02991">
        <w:rPr>
          <w:rFonts w:ascii="Times New Roman" w:hAnsi="Times New Roman"/>
          <w:sz w:val="24"/>
          <w:szCs w:val="24"/>
          <w:shd w:val="clear" w:color="auto" w:fill="FFFFFF"/>
          <w:lang w:val="en-US"/>
        </w:rPr>
        <w:t>Thank you in advance for your assistance. We look forward to your response.</w:t>
      </w:r>
    </w:p>
    <w:p w:rsidR="00275EF8" w:rsidRPr="00275EF8" w:rsidP="00C02991" w14:paraId="4068F5C0" w14:textId="77777777">
      <w:pPr>
        <w:autoSpaceDE w:val="0"/>
        <w:autoSpaceDN w:val="0"/>
        <w:adjustRightInd w:val="0"/>
        <w:spacing w:after="0"/>
        <w:rPr>
          <w:rFonts w:ascii="Times New Roman" w:eastAsia="Times New Roman" w:hAnsi="Times New Roman"/>
          <w:iCs/>
          <w:sz w:val="24"/>
          <w:szCs w:val="20"/>
          <w:lang w:val="en-US"/>
        </w:rPr>
      </w:pPr>
    </w:p>
    <w:p w:rsidR="00275EF8" w:rsidRPr="00C02991" w:rsidP="00C02991" w14:paraId="15A89D5F" w14:textId="7C364F5D">
      <w:pPr>
        <w:autoSpaceDE w:val="0"/>
        <w:autoSpaceDN w:val="0"/>
        <w:adjustRightInd w:val="0"/>
        <w:spacing w:after="0"/>
        <w:rPr>
          <w:rFonts w:ascii="Times New Roman" w:eastAsia="Times New Roman" w:hAnsi="Times New Roman"/>
          <w:iCs/>
          <w:sz w:val="20"/>
          <w:szCs w:val="16"/>
          <w:lang w:val="en-US"/>
        </w:rPr>
      </w:pPr>
      <w:r w:rsidRPr="00C02991">
        <w:rPr>
          <w:rFonts w:ascii="Times New Roman" w:eastAsia="Times New Roman" w:hAnsi="Times New Roman"/>
          <w:iCs/>
          <w:sz w:val="24"/>
          <w:szCs w:val="24"/>
          <w:lang w:val="en-US"/>
        </w:rPr>
        <w:t>Sincerely,</w:t>
      </w:r>
    </w:p>
    <w:p w:rsidR="00275EF8" w:rsidRPr="00275EF8" w:rsidP="00C02991" w14:paraId="10F8099D" w14:textId="77777777">
      <w:pPr>
        <w:autoSpaceDE w:val="0"/>
        <w:autoSpaceDN w:val="0"/>
        <w:adjustRightInd w:val="0"/>
        <w:spacing w:after="0"/>
        <w:rPr>
          <w:rFonts w:ascii="Times New Roman" w:eastAsia="Times New Roman" w:hAnsi="Times New Roman"/>
          <w:iCs/>
          <w:sz w:val="24"/>
          <w:szCs w:val="20"/>
          <w:lang w:val="en-US"/>
        </w:rPr>
      </w:pPr>
    </w:p>
    <w:p w:rsidR="00275EF8" w:rsidRPr="00275EF8" w:rsidP="00275EF8" w14:paraId="169583EF" w14:textId="77777777">
      <w:pPr>
        <w:autoSpaceDE w:val="0"/>
        <w:autoSpaceDN w:val="0"/>
        <w:adjustRightInd w:val="0"/>
        <w:spacing w:after="0" w:line="240" w:lineRule="auto"/>
        <w:rPr>
          <w:rFonts w:ascii="Times New Roman" w:eastAsia="Times New Roman" w:hAnsi="Times New Roman"/>
          <w:iCs/>
          <w:sz w:val="24"/>
          <w:szCs w:val="20"/>
          <w:lang w:val="en-US"/>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1984"/>
        <w:gridCol w:w="2977"/>
      </w:tblGrid>
      <w:tr w14:paraId="48A33033" w14:textId="77777777" w:rsidTr="00A222C9">
        <w:tblPrEx>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95" w:type="dxa"/>
          </w:tcPr>
          <w:p w:rsidR="00C02991" w:rsidRPr="00C02991" w:rsidP="00C02991" w14:paraId="3EFC8277" w14:textId="77777777">
            <w:pPr>
              <w:rPr>
                <w:noProof/>
                <w:szCs w:val="24"/>
              </w:rPr>
            </w:pPr>
            <w:r w:rsidRPr="00C02991">
              <w:rPr>
                <w:noProof/>
                <w:szCs w:val="24"/>
              </w:rPr>
              <w:t>Deputy State Secretary on Tax, Customs, and Accounting Affairs</w:t>
            </w:r>
          </w:p>
          <w:p w:rsidR="00816B3E" w:rsidRPr="00615936" w:rsidP="00015E10" w14:paraId="4A641E76" w14:textId="2B06CD3E">
            <w:pPr>
              <w:rPr>
                <w:szCs w:val="24"/>
              </w:rPr>
            </w:pPr>
          </w:p>
        </w:tc>
        <w:tc>
          <w:tcPr>
            <w:tcW w:w="1984" w:type="dxa"/>
          </w:tcPr>
          <w:p w:rsidR="00816B3E" w:rsidP="00816B3E" w14:paraId="7DF16663" w14:textId="2D346422">
            <w:pPr>
              <w:rPr>
                <w:szCs w:val="24"/>
              </w:rPr>
            </w:pPr>
          </w:p>
        </w:tc>
        <w:tc>
          <w:tcPr>
            <w:tcW w:w="2977" w:type="dxa"/>
          </w:tcPr>
          <w:p w:rsidR="00816B3E" w:rsidRPr="00615936" w:rsidP="00A222C9" w14:paraId="30F1D5C8" w14:textId="77777777">
            <w:pPr>
              <w:jc w:val="right"/>
              <w:rPr>
                <w:szCs w:val="24"/>
              </w:rPr>
            </w:pPr>
            <w:r>
              <w:rPr>
                <w:noProof/>
                <w:szCs w:val="24"/>
              </w:rPr>
              <w:t>Ilmārs Šņucins</w:t>
            </w:r>
          </w:p>
        </w:tc>
      </w:tr>
    </w:tbl>
    <w:p w:rsidR="00275EF8" w:rsidRPr="00275EF8" w:rsidP="00275EF8" w14:paraId="2F56A5CD" w14:textId="77777777">
      <w:pPr>
        <w:autoSpaceDE w:val="0"/>
        <w:autoSpaceDN w:val="0"/>
        <w:adjustRightInd w:val="0"/>
        <w:spacing w:after="0" w:line="240" w:lineRule="auto"/>
        <w:rPr>
          <w:rFonts w:ascii="Times New Roman" w:eastAsia="Times New Roman" w:hAnsi="Times New Roman"/>
          <w:iCs/>
          <w:sz w:val="24"/>
          <w:szCs w:val="20"/>
          <w:lang w:val="en-US"/>
        </w:rPr>
      </w:pPr>
    </w:p>
    <w:tbl>
      <w:tblPr>
        <w:tblpPr w:leftFromText="180" w:rightFromText="180" w:vertAnchor="text" w:tblpY="12"/>
        <w:tblW w:w="0" w:type="auto"/>
        <w:tblLook w:val="04A0"/>
      </w:tblPr>
      <w:tblGrid>
        <w:gridCol w:w="9072"/>
      </w:tblGrid>
      <w:tr w14:paraId="060C867D" w14:textId="77777777" w:rsidTr="000C51E2">
        <w:tblPrEx>
          <w:tblW w:w="0" w:type="auto"/>
          <w:tblLook w:val="04A0"/>
        </w:tblPrEx>
        <w:trPr>
          <w:cantSplit/>
          <w:trHeight w:val="579"/>
        </w:trPr>
        <w:tc>
          <w:tcPr>
            <w:tcW w:w="9072" w:type="dxa"/>
          </w:tcPr>
          <w:tbl>
            <w:tblPr>
              <w:tblW w:w="0" w:type="auto"/>
              <w:tblInd w:w="851" w:type="dxa"/>
              <w:tblLook w:val="04A0"/>
            </w:tblPr>
            <w:tblGrid>
              <w:gridCol w:w="7796"/>
            </w:tblGrid>
            <w:tr w14:paraId="2F20E95B" w14:textId="77777777" w:rsidTr="000C51E2">
              <w:tblPrEx>
                <w:tblW w:w="0" w:type="auto"/>
                <w:tblInd w:w="851" w:type="dxa"/>
                <w:tblLook w:val="04A0"/>
              </w:tblPrEx>
              <w:trPr>
                <w:cantSplit/>
                <w:trHeight w:val="207"/>
              </w:trPr>
              <w:tc>
                <w:tcPr>
                  <w:tcW w:w="7796" w:type="dxa"/>
                </w:tcPr>
                <w:p w:rsidR="00275EF8" w:rsidRPr="00275EF8" w:rsidP="00275EF8" w14:paraId="2A238137" w14:textId="77777777">
                  <w:pPr>
                    <w:framePr w:hSpace="180" w:wrap="around" w:vAnchor="text" w:hAnchor="text" w:y="12"/>
                    <w:spacing w:after="0" w:line="240" w:lineRule="auto"/>
                    <w:ind w:left="102"/>
                    <w:rPr>
                      <w:rFonts w:ascii="Times New Roman" w:eastAsia="Times New Roman" w:hAnsi="Times New Roman"/>
                      <w:i/>
                      <w:sz w:val="20"/>
                      <w:szCs w:val="20"/>
                      <w:lang w:val="en-US" w:eastAsia="lv-LV"/>
                    </w:rPr>
                  </w:pPr>
                  <w:bookmarkStart w:id="0" w:name="edoc_info" w:colFirst="0" w:colLast="0"/>
                  <w:r w:rsidRPr="00275EF8">
                    <w:rPr>
                      <w:rFonts w:ascii="Times New Roman" w:eastAsia="Times New Roman" w:hAnsi="Times New Roman"/>
                      <w:i/>
                      <w:sz w:val="20"/>
                      <w:szCs w:val="20"/>
                      <w:lang w:val="en-US" w:eastAsia="lv-LV"/>
                    </w:rPr>
                    <w:t>THIS DOCUMENT IS ELECTRONICALLY SIGNED WITH A SAFE ELECTRONIC SIGNATURE AND CONTAINS TIME STAMP</w:t>
                  </w:r>
                </w:p>
              </w:tc>
            </w:tr>
          </w:tbl>
          <w:p w:rsidR="00275EF8" w:rsidRPr="00275EF8" w:rsidP="00275EF8" w14:paraId="1CA521C0" w14:textId="77777777">
            <w:pPr>
              <w:spacing w:before="60" w:after="60" w:line="360" w:lineRule="auto"/>
              <w:ind w:firstLine="720"/>
              <w:jc w:val="both"/>
              <w:rPr>
                <w:rFonts w:ascii="Times New Roman" w:eastAsia="Times New Roman" w:hAnsi="Times New Roman"/>
                <w:i/>
                <w:sz w:val="24"/>
                <w:szCs w:val="20"/>
                <w:lang w:val="en-US" w:eastAsia="lv-LV"/>
              </w:rPr>
            </w:pPr>
          </w:p>
        </w:tc>
      </w:tr>
      <w:bookmarkEnd w:id="0"/>
    </w:tbl>
    <w:p w:rsidR="00275EF8" w:rsidRPr="00275EF8" w:rsidP="00275EF8" w14:paraId="299024AE" w14:textId="77777777">
      <w:pPr>
        <w:keepLines/>
        <w:spacing w:before="120" w:after="0" w:line="240" w:lineRule="auto"/>
        <w:rPr>
          <w:rFonts w:ascii="Times New Roman" w:eastAsia="Times New Roman" w:hAnsi="Times New Roman"/>
          <w:i/>
          <w:sz w:val="26"/>
          <w:szCs w:val="20"/>
          <w:lang w:val="en-US"/>
        </w:rPr>
      </w:pPr>
    </w:p>
    <w:p w:rsidR="00275EF8" w:rsidRPr="00275EF8" w:rsidP="00275EF8" w14:paraId="19DBF4B0" w14:textId="77777777">
      <w:pPr>
        <w:autoSpaceDE w:val="0"/>
        <w:autoSpaceDN w:val="0"/>
        <w:adjustRightInd w:val="0"/>
        <w:spacing w:after="0" w:line="240" w:lineRule="auto"/>
        <w:jc w:val="both"/>
        <w:rPr>
          <w:rFonts w:ascii="Times New Roman" w:eastAsia="Times New Roman" w:hAnsi="Times New Roman"/>
          <w:iCs/>
          <w:sz w:val="24"/>
          <w:szCs w:val="20"/>
          <w:lang w:val="en-US"/>
        </w:rPr>
      </w:pPr>
    </w:p>
    <w:p w:rsidR="00C02991" w:rsidP="00827F06" w14:paraId="5958384F" w14:textId="77777777">
      <w:pPr>
        <w:widowControl/>
        <w:spacing w:after="0" w:line="240" w:lineRule="auto"/>
        <w:rPr>
          <w:rFonts w:ascii="Times New Roman" w:eastAsia="Times New Roman" w:hAnsi="Times New Roman"/>
          <w:sz w:val="20"/>
          <w:szCs w:val="20"/>
        </w:rPr>
      </w:pPr>
      <w:bookmarkStart w:id="1" w:name="sagatavoja"/>
      <w:r w:rsidRPr="00827F06">
        <w:rPr>
          <w:rFonts w:ascii="Times New Roman" w:eastAsia="Times New Roman" w:hAnsi="Times New Roman"/>
          <w:noProof/>
          <w:sz w:val="20"/>
          <w:szCs w:val="20"/>
        </w:rPr>
        <w:t>Alvis Bless</w:t>
      </w:r>
      <w:r>
        <w:rPr>
          <w:rFonts w:ascii="Times New Roman" w:eastAsia="Times New Roman" w:hAnsi="Times New Roman"/>
          <w:sz w:val="20"/>
          <w:szCs w:val="20"/>
        </w:rPr>
        <w:t xml:space="preserve">, +371 </w:t>
      </w:r>
      <w:r w:rsidRPr="00827F06">
        <w:rPr>
          <w:rFonts w:ascii="Times New Roman" w:eastAsia="Times New Roman" w:hAnsi="Times New Roman"/>
          <w:noProof/>
          <w:sz w:val="20"/>
          <w:szCs w:val="20"/>
        </w:rPr>
        <w:t>25725910</w:t>
      </w:r>
    </w:p>
    <w:p w:rsidR="00827F06" w:rsidRPr="00827F06" w:rsidP="00827F06" w14:paraId="1A5DCAC6" w14:textId="4D9B494F">
      <w:pPr>
        <w:widowControl/>
        <w:spacing w:after="0" w:line="240" w:lineRule="auto"/>
        <w:rPr>
          <w:rFonts w:ascii="Times New Roman" w:eastAsia="Times New Roman" w:hAnsi="Times New Roman"/>
          <w:sz w:val="20"/>
          <w:szCs w:val="20"/>
        </w:rPr>
      </w:pPr>
      <w:r w:rsidRPr="00827F06">
        <w:rPr>
          <w:rFonts w:ascii="Times New Roman" w:eastAsia="Times New Roman" w:hAnsi="Times New Roman"/>
          <w:noProof/>
          <w:sz w:val="20"/>
          <w:szCs w:val="20"/>
        </w:rPr>
        <w:t>Alvis.Bless@fm.gov.lv</w:t>
      </w:r>
      <w:r w:rsidRPr="00827F06">
        <w:rPr>
          <w:rFonts w:ascii="Times New Roman" w:eastAsia="Times New Roman" w:hAnsi="Times New Roman"/>
          <w:sz w:val="20"/>
          <w:szCs w:val="20"/>
        </w:rPr>
        <w:t xml:space="preserve"> </w:t>
      </w:r>
      <w:bookmarkEnd w:id="1"/>
    </w:p>
    <w:p w:rsidR="00275EF8" w:rsidRPr="00214E16" w:rsidP="00F27703" w14:paraId="06A8B920" w14:textId="77777777">
      <w:pPr>
        <w:ind w:firstLine="567"/>
        <w:jc w:val="both"/>
        <w:rPr>
          <w:rFonts w:ascii="Times New Roman" w:hAnsi="Times New Roman"/>
          <w:sz w:val="24"/>
          <w:szCs w:val="24"/>
        </w:rPr>
      </w:pPr>
    </w:p>
    <w:sectPr w:rsidSect="0090287F">
      <w:headerReference w:type="even" r:id="rId8"/>
      <w:headerReference w:type="default" r:id="rId9"/>
      <w:footerReference w:type="even" r:id="rId10"/>
      <w:footerReference w:type="default" r:id="rId11"/>
      <w:headerReference w:type="first" r:id="rId12"/>
      <w:footerReference w:type="first" r:id="rId13"/>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B2B" w14:paraId="02DA13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B2B" w14:paraId="21B42CB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B2B" w14:paraId="2ECF25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222C9" w14:paraId="38C49EAD" w14:textId="77777777">
      <w:pPr>
        <w:spacing w:after="0" w:line="240" w:lineRule="auto"/>
      </w:pPr>
      <w:r>
        <w:separator/>
      </w:r>
    </w:p>
  </w:footnote>
  <w:footnote w:type="continuationSeparator" w:id="1">
    <w:p w:rsidR="00A222C9" w14:paraId="1D441FD5" w14:textId="77777777">
      <w:pPr>
        <w:spacing w:after="0" w:line="240" w:lineRule="auto"/>
      </w:pPr>
      <w:r>
        <w:continuationSeparator/>
      </w:r>
    </w:p>
  </w:footnote>
  <w:footnote w:id="2">
    <w:p w:rsidR="00C02991" w:rsidP="00C02991" w14:paraId="07BFCDCE" w14:textId="77777777">
      <w:pPr>
        <w:pStyle w:val="FootnoteText"/>
      </w:pPr>
      <w:r>
        <w:rPr>
          <w:rStyle w:val="FootnoteReference"/>
        </w:rPr>
        <w:footnoteRef/>
      </w:r>
      <w:r>
        <w:t xml:space="preserve"> </w:t>
      </w:r>
      <w:r w:rsidRPr="00C65DCD">
        <w:rPr>
          <w:rFonts w:ascii="Times New Roman" w:eastAsia="Aptos" w:hAnsi="Times New Roman" w:cs="Arial"/>
          <w:kern w:val="2"/>
          <w:sz w:val="24"/>
          <w:szCs w:val="22"/>
          <w14:ligatures w14:val="standardContextual"/>
        </w:rPr>
        <w:t>Law</w:t>
      </w:r>
      <w:r w:rsidRPr="00C65DCD">
        <w:rPr>
          <w:rFonts w:ascii="Times New Roman" w:eastAsia="Aptos" w:hAnsi="Times New Roman" w:cs="Arial"/>
          <w:kern w:val="2"/>
          <w:sz w:val="24"/>
          <w:szCs w:val="22"/>
          <w14:ligatures w14:val="standardContextual"/>
        </w:rPr>
        <w:t xml:space="preserve"> </w:t>
      </w:r>
      <w:r w:rsidRPr="00C65DCD">
        <w:rPr>
          <w:rFonts w:ascii="Times New Roman" w:eastAsia="Aptos" w:hAnsi="Times New Roman" w:cs="Arial"/>
          <w:kern w:val="2"/>
          <w:sz w:val="24"/>
          <w:szCs w:val="22"/>
          <w:lang w:val="en-GB"/>
          <w14:ligatures w14:val="standardContextual"/>
        </w:rPr>
        <w:t xml:space="preserve">on Lotteries of Goods and Services available here: </w:t>
      </w:r>
      <w:hyperlink r:id="rId1" w:history="1">
        <w:r w:rsidRPr="00C65DCD">
          <w:rPr>
            <w:rFonts w:ascii="Times New Roman" w:eastAsia="Aptos" w:hAnsi="Times New Roman" w:cs="Arial"/>
            <w:color w:val="467886"/>
            <w:kern w:val="2"/>
            <w:sz w:val="24"/>
            <w:szCs w:val="22"/>
            <w:u w:val="single"/>
            <w:lang w:val="en-GB"/>
            <w14:ligatures w14:val="standardContextual"/>
          </w:rPr>
          <w:t>https://likumi.lv/ta/en/en/id/76989-law-on-lotteries-of-goods-and-services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B2B" w14:paraId="1620D32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E3B2B" w14:paraId="20825BF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87F" w:rsidP="0090287F" w14:paraId="5E8577E1" w14:textId="77777777">
    <w:pPr>
      <w:pStyle w:val="Header"/>
      <w:jc w:val="right"/>
      <w:rPr>
        <w:rFonts w:ascii="Times New Roman" w:hAnsi="Times New Roman"/>
      </w:rPr>
    </w:pPr>
  </w:p>
  <w:p w:rsidR="00522FA4" w:rsidP="0090287F" w14:paraId="4154DA5D" w14:textId="77777777">
    <w:pPr>
      <w:pStyle w:val="Header"/>
      <w:jc w:val="right"/>
      <w:rPr>
        <w:rFonts w:ascii="Times New Roman" w:hAnsi="Times New Roman"/>
      </w:rPr>
    </w:pPr>
    <w:r>
      <w:rPr>
        <w:rFonts w:ascii="Times New Roman" w:hAnsi="Times New Roman"/>
        <w:noProof/>
        <w:lang w:eastAsia="lv-LV"/>
      </w:rPr>
      <w:drawing>
        <wp:anchor distT="0" distB="0" distL="114300" distR="114300" simplePos="0" relativeHeight="251664384" behindDoc="1" locked="0" layoutInCell="1" allowOverlap="1">
          <wp:simplePos x="0" y="0"/>
          <wp:positionH relativeFrom="margin">
            <wp:align>center</wp:align>
          </wp:positionH>
          <wp:positionV relativeFrom="page">
            <wp:posOffset>714375</wp:posOffset>
          </wp:positionV>
          <wp:extent cx="5914390" cy="1065600"/>
          <wp:effectExtent l="0" t="0" r="0" b="0"/>
          <wp:wrapNone/>
          <wp:docPr id="7" name="Picture 7" descr="C:\Users\it-skrod\Desktop\veidlapas_jaunas\paraugi\vienkrasu_header_veidlapa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it-skrod\Desktop\veidlapas_jaunas\paraugi\vienkrasu_header_veidlapa_22.png"/>
                  <pic:cNvPicPr>
                    <a:picLocks noChangeAspect="1" noChangeArrowheads="1"/>
                  </pic:cNvPicPr>
                </pic:nvPicPr>
                <pic:blipFill>
                  <a:blip xmlns:r="http://schemas.openxmlformats.org/officeDocument/2006/relationships" r:embed="rId1" cstate="print">
                    <a:extLst>
                      <a:ext xmlns:a="http://schemas.openxmlformats.org/drawingml/2006/main" uri="{BEBA8EAE-BF5A-486C-A8C5-ECC9F3942E4B}">
                        <a14:imgProps xmlns:a14="http://schemas.microsoft.com/office/drawing/2010/main">
                          <a14:imgLayer>
                            <a14:imgEffect>
                              <a14:brightnessContrast contrast="100000"/>
                            </a14:imgEffect>
                          </a14:imgLayer>
                        </a14:imgProps>
                      </a:ext>
                      <a:ext xmlns:a="http://schemas.openxmlformats.org/drawingml/2006/main" uri="{28A0092B-C50C-407E-A947-70E740481C1C}">
                        <a14:useLocalDpi xmlns:a14="http://schemas.microsoft.com/office/drawing/2010/main" val="0"/>
                      </a:ext>
                    </a:extLst>
                  </a:blip>
                  <a:srcRect l="35" t="182" r="-36" b="-190"/>
                  <a:stretch>
                    <a:fillRect/>
                  </a:stretch>
                </pic:blipFill>
                <pic:spPr bwMode="auto">
                  <a:xfrm>
                    <a:off x="0" y="0"/>
                    <a:ext cx="5914800" cy="1065674"/>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2FA4" w:rsidP="0090287F" w14:paraId="6F4A03A4" w14:textId="77777777">
    <w:pPr>
      <w:pStyle w:val="Header"/>
      <w:jc w:val="right"/>
      <w:rPr>
        <w:rFonts w:ascii="Times New Roman" w:hAnsi="Times New Roman"/>
      </w:rPr>
    </w:pPr>
  </w:p>
  <w:p w:rsidR="00214E16" w:rsidP="0090287F" w14:paraId="057A8CF6" w14:textId="77777777">
    <w:pPr>
      <w:pStyle w:val="Header"/>
      <w:jc w:val="right"/>
      <w:rPr>
        <w:rFonts w:ascii="Times New Roman" w:hAnsi="Times New Roman"/>
      </w:rPr>
    </w:pPr>
  </w:p>
  <w:p w:rsidR="00214E16" w:rsidP="0090287F" w14:paraId="497E7FE0" w14:textId="77777777">
    <w:pPr>
      <w:pStyle w:val="Header"/>
      <w:jc w:val="right"/>
      <w:rPr>
        <w:rFonts w:ascii="Times New Roman" w:hAnsi="Times New Roman"/>
      </w:rPr>
    </w:pPr>
  </w:p>
  <w:p w:rsidR="00522FA4" w:rsidP="001D56E1" w14:paraId="14FC8B4B" w14:textId="77777777">
    <w:pPr>
      <w:pStyle w:val="Header"/>
      <w:jc w:val="center"/>
      <w:rPr>
        <w:rFonts w:ascii="Times New Roman" w:hAnsi="Times New Roman"/>
      </w:rPr>
    </w:pPr>
  </w:p>
  <w:p w:rsidR="00522FA4" w:rsidP="00522FA4" w14:paraId="37788AB2" w14:textId="77777777">
    <w:pPr>
      <w:pStyle w:val="Header"/>
      <w:rPr>
        <w:rFonts w:ascii="Times New Roman" w:hAnsi="Times New Roman"/>
      </w:rPr>
    </w:pPr>
  </w:p>
  <w:p w:rsidR="00522FA4" w:rsidP="003C5D97" w14:paraId="266DAF53" w14:textId="77777777">
    <w:pPr>
      <w:pStyle w:val="Header"/>
      <w:tabs>
        <w:tab w:val="left" w:pos="3132"/>
        <w:tab w:val="clear" w:pos="4320"/>
        <w:tab w:val="clear" w:pos="8640"/>
      </w:tabs>
      <w:rPr>
        <w:rFonts w:ascii="Times New Roman" w:hAnsi="Times New Roman"/>
      </w:rPr>
    </w:pPr>
    <w:r>
      <w:rPr>
        <w:rFonts w:ascii="Times New Roman" w:hAnsi="Times New Roman"/>
      </w:rPr>
      <w:tab/>
    </w:r>
  </w:p>
  <w:p w:rsidR="00522FA4" w:rsidP="00522FA4" w14:paraId="58EBC2C4" w14:textId="77777777">
    <w:pPr>
      <w:pStyle w:val="Header"/>
      <w:rPr>
        <w:rFonts w:ascii="Times New Roman" w:hAnsi="Times New Roman"/>
      </w:rPr>
    </w:pPr>
  </w:p>
  <w:p w:rsidR="00522FA4" w:rsidRPr="00815277" w:rsidP="00522FA4" w14:paraId="679BBB35" w14:textId="77777777">
    <w:pPr>
      <w:pStyle w:val="Header"/>
      <w:rPr>
        <w:rFonts w:ascii="Times New Roman" w:hAnsi="Times New Roman"/>
      </w:rPr>
    </w:pPr>
    <w:r>
      <w:rPr>
        <w:noProof/>
        <w:lang w:eastAsia="lv-LV"/>
      </w:rPr>
      <mc:AlternateContent>
        <mc:Choice Requires="wps">
          <w:drawing>
            <wp:anchor distT="0" distB="0" distL="114300" distR="114300" simplePos="0" relativeHeight="251662336" behindDoc="1" locked="0" layoutInCell="1" allowOverlap="1">
              <wp:simplePos x="0" y="0"/>
              <wp:positionH relativeFrom="page">
                <wp:posOffset>1073150</wp:posOffset>
              </wp:positionH>
              <wp:positionV relativeFrom="page">
                <wp:posOffset>2141220</wp:posOffset>
              </wp:positionV>
              <wp:extent cx="5916295" cy="276225"/>
              <wp:effectExtent l="0" t="0" r="8255" b="9525"/>
              <wp:wrapNone/>
              <wp:docPr id="4"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295" cy="2762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E3B2B" w:rsidP="006E3B2B" w14:textId="77777777">
                          <w:pPr>
                            <w:spacing w:after="0" w:line="194" w:lineRule="exact"/>
                            <w:ind w:left="20" w:right="-45"/>
                            <w:jc w:val="center"/>
                            <w:rPr>
                              <w:rFonts w:ascii="Times New Roman" w:eastAsia="Times New Roman" w:hAnsi="Times New Roman"/>
                              <w:color w:val="231F20"/>
                              <w:sz w:val="17"/>
                              <w:szCs w:val="17"/>
                            </w:rPr>
                          </w:pPr>
                          <w:r w:rsidRPr="00F6027B">
                            <w:rPr>
                              <w:rFonts w:ascii="Times New Roman" w:eastAsia="Times New Roman" w:hAnsi="Times New Roman"/>
                              <w:color w:val="231F20"/>
                              <w:sz w:val="17"/>
                              <w:szCs w:val="17"/>
                            </w:rPr>
                            <w:t xml:space="preserve">Smilšu iela 1, Rīga, LV-1919, Latvia, </w:t>
                          </w:r>
                          <w:r w:rsidRPr="00F6027B">
                            <w:rPr>
                              <w:rFonts w:ascii="Times New Roman" w:eastAsia="Times New Roman" w:hAnsi="Times New Roman"/>
                              <w:color w:val="231F20"/>
                              <w:sz w:val="17"/>
                              <w:szCs w:val="17"/>
                            </w:rPr>
                            <w:t>phone</w:t>
                          </w:r>
                          <w:r w:rsidRPr="00F6027B">
                            <w:rPr>
                              <w:rFonts w:ascii="Times New Roman" w:eastAsia="Times New Roman" w:hAnsi="Times New Roman"/>
                              <w:color w:val="231F20"/>
                              <w:sz w:val="17"/>
                              <w:szCs w:val="17"/>
                            </w:rPr>
                            <w:t xml:space="preserve"> +371 67095689</w:t>
                          </w:r>
                        </w:p>
                        <w:p w:rsidR="006E3B2B" w:rsidP="006E3B2B" w14:textId="77777777">
                          <w:pPr>
                            <w:spacing w:after="0" w:line="194" w:lineRule="exact"/>
                            <w:ind w:left="20" w:right="-45"/>
                            <w:jc w:val="center"/>
                            <w:rPr>
                              <w:rFonts w:ascii="Times New Roman" w:eastAsia="Times New Roman" w:hAnsi="Times New Roman"/>
                              <w:sz w:val="17"/>
                              <w:szCs w:val="17"/>
                            </w:rPr>
                          </w:pPr>
                          <w:r w:rsidRPr="00F6027B">
                            <w:rPr>
                              <w:rFonts w:ascii="Times New Roman" w:eastAsia="Times New Roman" w:hAnsi="Times New Roman"/>
                              <w:color w:val="231F20"/>
                              <w:sz w:val="17"/>
                              <w:szCs w:val="17"/>
                            </w:rPr>
                            <w:t>e-</w:t>
                          </w:r>
                          <w:r w:rsidRPr="00F6027B">
                            <w:rPr>
                              <w:rFonts w:ascii="Times New Roman" w:eastAsia="Times New Roman" w:hAnsi="Times New Roman"/>
                              <w:color w:val="231F20"/>
                              <w:sz w:val="17"/>
                              <w:szCs w:val="17"/>
                            </w:rPr>
                            <w:t>mail</w:t>
                          </w:r>
                          <w:r w:rsidRPr="00F6027B">
                            <w:rPr>
                              <w:rFonts w:ascii="Times New Roman" w:eastAsia="Times New Roman" w:hAnsi="Times New Roman"/>
                              <w:color w:val="231F20"/>
                              <w:sz w:val="17"/>
                              <w:szCs w:val="17"/>
                            </w:rPr>
                            <w:t xml:space="preserve"> pasts@fm.gov.lv, www.fm.gov.lv</w:t>
                          </w:r>
                        </w:p>
                        <w:p w:rsidR="00522FA4" w:rsidRPr="001D56E1" w:rsidP="00522FA4" w14:textId="77777777">
                          <w:pPr>
                            <w:spacing w:after="0" w:line="194" w:lineRule="exact"/>
                            <w:ind w:left="20" w:right="-45"/>
                            <w:jc w:val="center"/>
                            <w:rPr>
                              <w:rFonts w:ascii="Times New Roman" w:eastAsia="Times New Roman" w:hAnsi="Times New Roman"/>
                              <w:color w:val="000000"/>
                              <w:sz w:val="17"/>
                              <w:szCs w:val="17"/>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2049" type="#_x0000_t202" style="width:465.85pt;height:21.75pt;margin-top:168.6pt;margin-left:84.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6E3B2B" w:rsidP="006E3B2B" w14:paraId="2B20CD3D" w14:textId="77777777">
                    <w:pPr>
                      <w:spacing w:after="0" w:line="194" w:lineRule="exact"/>
                      <w:ind w:left="20" w:right="-45"/>
                      <w:jc w:val="center"/>
                      <w:rPr>
                        <w:rFonts w:ascii="Times New Roman" w:eastAsia="Times New Roman" w:hAnsi="Times New Roman"/>
                        <w:color w:val="231F20"/>
                        <w:sz w:val="17"/>
                        <w:szCs w:val="17"/>
                      </w:rPr>
                    </w:pPr>
                    <w:r w:rsidRPr="00F6027B">
                      <w:rPr>
                        <w:rFonts w:ascii="Times New Roman" w:eastAsia="Times New Roman" w:hAnsi="Times New Roman"/>
                        <w:color w:val="231F20"/>
                        <w:sz w:val="17"/>
                        <w:szCs w:val="17"/>
                      </w:rPr>
                      <w:t xml:space="preserve">Smilšu iela 1, Rīga, LV-1919, Latvia, </w:t>
                    </w:r>
                    <w:r w:rsidRPr="00F6027B">
                      <w:rPr>
                        <w:rFonts w:ascii="Times New Roman" w:eastAsia="Times New Roman" w:hAnsi="Times New Roman"/>
                        <w:color w:val="231F20"/>
                        <w:sz w:val="17"/>
                        <w:szCs w:val="17"/>
                      </w:rPr>
                      <w:t>phone</w:t>
                    </w:r>
                    <w:r w:rsidRPr="00F6027B">
                      <w:rPr>
                        <w:rFonts w:ascii="Times New Roman" w:eastAsia="Times New Roman" w:hAnsi="Times New Roman"/>
                        <w:color w:val="231F20"/>
                        <w:sz w:val="17"/>
                        <w:szCs w:val="17"/>
                      </w:rPr>
                      <w:t xml:space="preserve"> +371 67095689</w:t>
                    </w:r>
                  </w:p>
                  <w:p w:rsidR="006E3B2B" w:rsidP="006E3B2B" w14:paraId="246E713C" w14:textId="77777777">
                    <w:pPr>
                      <w:spacing w:after="0" w:line="194" w:lineRule="exact"/>
                      <w:ind w:left="20" w:right="-45"/>
                      <w:jc w:val="center"/>
                      <w:rPr>
                        <w:rFonts w:ascii="Times New Roman" w:eastAsia="Times New Roman" w:hAnsi="Times New Roman"/>
                        <w:sz w:val="17"/>
                        <w:szCs w:val="17"/>
                      </w:rPr>
                    </w:pPr>
                    <w:r w:rsidRPr="00F6027B">
                      <w:rPr>
                        <w:rFonts w:ascii="Times New Roman" w:eastAsia="Times New Roman" w:hAnsi="Times New Roman"/>
                        <w:color w:val="231F20"/>
                        <w:sz w:val="17"/>
                        <w:szCs w:val="17"/>
                      </w:rPr>
                      <w:t>e-</w:t>
                    </w:r>
                    <w:r w:rsidRPr="00F6027B">
                      <w:rPr>
                        <w:rFonts w:ascii="Times New Roman" w:eastAsia="Times New Roman" w:hAnsi="Times New Roman"/>
                        <w:color w:val="231F20"/>
                        <w:sz w:val="17"/>
                        <w:szCs w:val="17"/>
                      </w:rPr>
                      <w:t>mail</w:t>
                    </w:r>
                    <w:r w:rsidRPr="00F6027B">
                      <w:rPr>
                        <w:rFonts w:ascii="Times New Roman" w:eastAsia="Times New Roman" w:hAnsi="Times New Roman"/>
                        <w:color w:val="231F20"/>
                        <w:sz w:val="17"/>
                        <w:szCs w:val="17"/>
                      </w:rPr>
                      <w:t xml:space="preserve"> pasts@fm.gov.lv, www.fm.gov.lv</w:t>
                    </w:r>
                  </w:p>
                  <w:p w:rsidR="00522FA4" w:rsidRPr="001D56E1" w:rsidP="00522FA4" w14:paraId="3BFAC504" w14:textId="77777777">
                    <w:pPr>
                      <w:spacing w:after="0" w:line="194" w:lineRule="exact"/>
                      <w:ind w:left="20" w:right="-45"/>
                      <w:jc w:val="center"/>
                      <w:rPr>
                        <w:rFonts w:ascii="Times New Roman" w:eastAsia="Times New Roman" w:hAnsi="Times New Roman"/>
                        <w:color w:val="000000"/>
                        <w:sz w:val="17"/>
                        <w:szCs w:val="17"/>
                      </w:rPr>
                    </w:pPr>
                  </w:p>
                </w:txbxContent>
              </v:textbox>
            </v:shape>
          </w:pict>
        </mc:Fallback>
      </mc:AlternateContent>
    </w:r>
  </w:p>
  <w:p w:rsidR="00522FA4" w14:paraId="5C69D092" w14:textId="77777777">
    <w:pPr>
      <w:pStyle w:val="Header"/>
    </w:pPr>
    <w:r>
      <w:rPr>
        <w:noProof/>
        <w:lang w:eastAsia="lv-LV"/>
      </w:rPr>
      <mc:AlternateContent>
        <mc:Choice Requires="wps">
          <w:drawing>
            <wp:anchor distT="0" distB="0" distL="114300" distR="114300" simplePos="0" relativeHeight="251660288" behindDoc="1" locked="0" layoutInCell="1" allowOverlap="1">
              <wp:simplePos x="0" y="0"/>
              <wp:positionH relativeFrom="margin">
                <wp:align>left</wp:align>
              </wp:positionH>
              <wp:positionV relativeFrom="page">
                <wp:posOffset>1824786</wp:posOffset>
              </wp:positionV>
              <wp:extent cx="5916295" cy="139700"/>
              <wp:effectExtent l="0" t="0" r="8255" b="12700"/>
              <wp:wrapNone/>
              <wp:docPr id="3"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16295"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22FA4" w:rsidRPr="001D56E1" w:rsidP="00522FA4" w14:textId="77777777">
                          <w:pPr>
                            <w:spacing w:after="0" w:line="204" w:lineRule="exact"/>
                            <w:ind w:left="20" w:right="-47"/>
                            <w:jc w:val="center"/>
                            <w:rPr>
                              <w:rFonts w:ascii="Times New Roman" w:eastAsia="Times New Roman" w:hAnsi="Times New Roman"/>
                              <w:color w:val="000000"/>
                              <w:sz w:val="18"/>
                              <w:szCs w:val="18"/>
                              <w:lang w:val="en-US"/>
                            </w:rPr>
                          </w:pPr>
                          <w:r w:rsidRPr="001D56E1">
                            <w:rPr>
                              <w:rFonts w:ascii="Times New Roman" w:eastAsia="Times New Roman" w:hAnsi="Times New Roman"/>
                              <w:i/>
                              <w:color w:val="000000"/>
                              <w:spacing w:val="-11"/>
                              <w:sz w:val="18"/>
                              <w:szCs w:val="18"/>
                              <w:lang w:val="en-US"/>
                            </w:rPr>
                            <w:t>Ministry of Finance of the Republic of Latvia</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7" o:spid="_x0000_s2050" type="#_x0000_t202" style="width:465.85pt;height:11pt;margin-top:143.7pt;margin-left:0;mso-height-percent:0;mso-height-relative:page;mso-position-horizontal:left;mso-position-horizontal-relative:margin;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522FA4" w:rsidRPr="001D56E1" w:rsidP="00522FA4" w14:paraId="2B3FD538" w14:textId="77777777">
                    <w:pPr>
                      <w:spacing w:after="0" w:line="204" w:lineRule="exact"/>
                      <w:ind w:left="20" w:right="-47"/>
                      <w:jc w:val="center"/>
                      <w:rPr>
                        <w:rFonts w:ascii="Times New Roman" w:eastAsia="Times New Roman" w:hAnsi="Times New Roman"/>
                        <w:color w:val="000000"/>
                        <w:sz w:val="18"/>
                        <w:szCs w:val="18"/>
                        <w:lang w:val="en-US"/>
                      </w:rPr>
                    </w:pPr>
                    <w:r w:rsidRPr="001D56E1">
                      <w:rPr>
                        <w:rFonts w:ascii="Times New Roman" w:eastAsia="Times New Roman" w:hAnsi="Times New Roman"/>
                        <w:i/>
                        <w:color w:val="000000"/>
                        <w:spacing w:val="-11"/>
                        <w:sz w:val="18"/>
                        <w:szCs w:val="18"/>
                        <w:lang w:val="en-US"/>
                      </w:rPr>
                      <w:t>Ministry of Finance of the Republic of Latvia</w:t>
                    </w:r>
                  </w:p>
                </w:txbxContent>
              </v:textbox>
              <w10:wrap anchorx="margin"/>
            </v:shape>
          </w:pict>
        </mc:Fallback>
      </mc:AlternateContent>
    </w:r>
  </w:p>
  <w:p w:rsidR="0090287F" w14:paraId="62735597" w14:textId="77777777">
    <w:pPr>
      <w:pStyle w:val="Header"/>
    </w:pPr>
    <w:r>
      <w:rPr>
        <w:noProof/>
        <w:lang w:eastAsia="lv-LV"/>
      </w:rPr>
      <mc:AlternateContent>
        <mc:Choice Requires="wpg">
          <w:drawing>
            <wp:anchor distT="0" distB="0" distL="114300" distR="114300" simplePos="0" relativeHeight="251658240" behindDoc="1" locked="0" layoutInCell="1" allowOverlap="1">
              <wp:simplePos x="0" y="0"/>
              <wp:positionH relativeFrom="margin">
                <wp:align>left</wp:align>
              </wp:positionH>
              <wp:positionV relativeFrom="page">
                <wp:posOffset>2017084</wp:posOffset>
              </wp:positionV>
              <wp:extent cx="5931683" cy="83128"/>
              <wp:effectExtent l="0" t="0" r="12065" b="0"/>
              <wp:wrapNone/>
              <wp:docPr id="1" name="Group 15"/>
              <wp:cNvGraphicFramePr/>
              <a:graphic xmlns:a="http://schemas.openxmlformats.org/drawingml/2006/main">
                <a:graphicData uri="http://schemas.microsoft.com/office/word/2010/wordprocessingGroup">
                  <wpg:wgp xmlns:wpg="http://schemas.microsoft.com/office/word/2010/wordprocessingGroup">
                    <wpg:cNvGrpSpPr/>
                    <wpg:grpSpPr>
                      <a:xfrm>
                        <a:off x="0" y="0"/>
                        <a:ext cx="5931683" cy="83128"/>
                        <a:chOff x="2915" y="3172"/>
                        <a:chExt cx="6926" cy="2"/>
                      </a:xfrm>
                    </wpg:grpSpPr>
                    <wps:wsp xmlns:wps="http://schemas.microsoft.com/office/word/2010/wordprocessingShape">
                      <wps:cNvPr id="2" name="Freeform 16"/>
                      <wps:cNvSpPr/>
                      <wps:spPr bwMode="auto">
                        <a:xfrm>
                          <a:off x="2915" y="3172"/>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15" o:spid="_x0000_s2051" style="width:467.05pt;height:6.55pt;margin-top:158.85pt;margin-left:0;mso-position-horizontal:left;mso-position-horizontal-relative:margin;mso-position-vertical-relative:page;position:absolute;z-index:-251657216" coordorigin="2915,3172" coordsize="6926,2">
              <v:shape id="Freeform 16" o:spid="_x0000_s2052" style="width:6926;height:2;left:2915;mso-wrap-style:square;position:absolute;top:3172;visibility:visible;v-text-anchor:top" coordsize="6926,2" path="m,l6926,e" filled="f" strokecolor="#231f20" strokeweight="0.25pt">
                <v:path arrowok="t" o:connecttype="custom" o:connectlocs="0,0;6926,0" o:connectangles="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BD141F24"/>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num w:numId="1" w16cid:durableId="2022507562">
    <w:abstractNumId w:val="10"/>
  </w:num>
  <w:num w:numId="2" w16cid:durableId="2139370844">
    <w:abstractNumId w:val="8"/>
  </w:num>
  <w:num w:numId="3" w16cid:durableId="1535777195">
    <w:abstractNumId w:val="7"/>
  </w:num>
  <w:num w:numId="4" w16cid:durableId="1674605876">
    <w:abstractNumId w:val="6"/>
  </w:num>
  <w:num w:numId="5" w16cid:durableId="454905515">
    <w:abstractNumId w:val="5"/>
  </w:num>
  <w:num w:numId="6" w16cid:durableId="166557258">
    <w:abstractNumId w:val="9"/>
  </w:num>
  <w:num w:numId="7" w16cid:durableId="1147821801">
    <w:abstractNumId w:val="4"/>
  </w:num>
  <w:num w:numId="8" w16cid:durableId="537207554">
    <w:abstractNumId w:val="3"/>
  </w:num>
  <w:num w:numId="9" w16cid:durableId="199123963">
    <w:abstractNumId w:val="2"/>
  </w:num>
  <w:num w:numId="10" w16cid:durableId="1694965021">
    <w:abstractNumId w:val="1"/>
  </w:num>
  <w:num w:numId="11" w16cid:durableId="133836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footnotePr>
    <w:footnote w:id="0"/>
    <w:footnote w:id="1"/>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C1F"/>
    <w:rsid w:val="00012902"/>
    <w:rsid w:val="00015E10"/>
    <w:rsid w:val="00083C61"/>
    <w:rsid w:val="000B6BEC"/>
    <w:rsid w:val="000B6C9B"/>
    <w:rsid w:val="001A3BC8"/>
    <w:rsid w:val="001B0C3E"/>
    <w:rsid w:val="001B19C9"/>
    <w:rsid w:val="001D56E1"/>
    <w:rsid w:val="00214E16"/>
    <w:rsid w:val="00267D92"/>
    <w:rsid w:val="00275EF8"/>
    <w:rsid w:val="002910F5"/>
    <w:rsid w:val="002A08E9"/>
    <w:rsid w:val="002E1474"/>
    <w:rsid w:val="00304B9A"/>
    <w:rsid w:val="003614B8"/>
    <w:rsid w:val="003A5A68"/>
    <w:rsid w:val="003C5D97"/>
    <w:rsid w:val="003E2120"/>
    <w:rsid w:val="004133DA"/>
    <w:rsid w:val="00446020"/>
    <w:rsid w:val="0046017E"/>
    <w:rsid w:val="004F7F23"/>
    <w:rsid w:val="005130FD"/>
    <w:rsid w:val="00522FA4"/>
    <w:rsid w:val="00536E45"/>
    <w:rsid w:val="005C417E"/>
    <w:rsid w:val="005C4947"/>
    <w:rsid w:val="00603E1A"/>
    <w:rsid w:val="00615936"/>
    <w:rsid w:val="00644084"/>
    <w:rsid w:val="006754A9"/>
    <w:rsid w:val="006A79F0"/>
    <w:rsid w:val="006E3B2B"/>
    <w:rsid w:val="00761F84"/>
    <w:rsid w:val="00775FDB"/>
    <w:rsid w:val="007862F4"/>
    <w:rsid w:val="00794FAF"/>
    <w:rsid w:val="007B1CEC"/>
    <w:rsid w:val="00815277"/>
    <w:rsid w:val="00816B3E"/>
    <w:rsid w:val="00827F06"/>
    <w:rsid w:val="00853D16"/>
    <w:rsid w:val="008645C0"/>
    <w:rsid w:val="00866DE1"/>
    <w:rsid w:val="00883336"/>
    <w:rsid w:val="008C3E84"/>
    <w:rsid w:val="0090287F"/>
    <w:rsid w:val="00920C1F"/>
    <w:rsid w:val="00950914"/>
    <w:rsid w:val="00A222C9"/>
    <w:rsid w:val="00A61E70"/>
    <w:rsid w:val="00B75F5A"/>
    <w:rsid w:val="00BE2FB5"/>
    <w:rsid w:val="00C02991"/>
    <w:rsid w:val="00C35596"/>
    <w:rsid w:val="00C65DCD"/>
    <w:rsid w:val="00C835B5"/>
    <w:rsid w:val="00C8745B"/>
    <w:rsid w:val="00CC20AF"/>
    <w:rsid w:val="00D405B8"/>
    <w:rsid w:val="00D60B44"/>
    <w:rsid w:val="00D67E61"/>
    <w:rsid w:val="00DA651C"/>
    <w:rsid w:val="00E56568"/>
    <w:rsid w:val="00E62A44"/>
    <w:rsid w:val="00EA13F6"/>
    <w:rsid w:val="00EC6ED7"/>
    <w:rsid w:val="00ED4F52"/>
    <w:rsid w:val="00EE1AB5"/>
    <w:rsid w:val="00EE5701"/>
    <w:rsid w:val="00F27703"/>
    <w:rsid w:val="00F6027B"/>
    <w:rsid w:val="00FF0A67"/>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425190FA"/>
  <w15:chartTrackingRefBased/>
  <w15:docId w15:val="{5C336F78-143E-4C15-8756-4E7BD1C00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BalloonText">
    <w:name w:val="Balloon Text"/>
    <w:basedOn w:val="Normal"/>
    <w:link w:val="BalloonTextChar"/>
    <w:uiPriority w:val="99"/>
    <w:semiHidden/>
    <w:unhideWhenUsed/>
    <w:rsid w:val="00902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87F"/>
    <w:rPr>
      <w:rFonts w:ascii="Segoe UI" w:hAnsi="Segoe UI" w:cs="Segoe UI"/>
      <w:sz w:val="18"/>
      <w:szCs w:val="18"/>
      <w:lang w:eastAsia="en-US"/>
    </w:rPr>
  </w:style>
  <w:style w:type="table" w:styleId="TableGrid">
    <w:name w:val="Table Grid"/>
    <w:basedOn w:val="TableNormal"/>
    <w:uiPriority w:val="59"/>
    <w:rsid w:val="00275EF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02991"/>
    <w:rPr>
      <w:vertAlign w:val="superscript"/>
    </w:rPr>
  </w:style>
  <w:style w:type="paragraph" w:styleId="FootnoteText">
    <w:name w:val="footnote text"/>
    <w:basedOn w:val="Normal"/>
    <w:link w:val="FootnoteTextChar1"/>
    <w:uiPriority w:val="99"/>
    <w:semiHidden/>
    <w:unhideWhenUsed/>
    <w:rsid w:val="00C02991"/>
    <w:pPr>
      <w:spacing w:after="0" w:line="240" w:lineRule="auto"/>
    </w:pPr>
    <w:rPr>
      <w:sz w:val="20"/>
      <w:szCs w:val="20"/>
    </w:rPr>
  </w:style>
  <w:style w:type="character" w:customStyle="1" w:styleId="FootnoteTextChar">
    <w:name w:val="Footnote Text Char"/>
    <w:basedOn w:val="DefaultParagraphFont"/>
    <w:uiPriority w:val="99"/>
    <w:semiHidden/>
    <w:rsid w:val="00C02991"/>
    <w:rPr>
      <w:lang w:eastAsia="en-US"/>
    </w:rPr>
  </w:style>
  <w:style w:type="character" w:customStyle="1" w:styleId="FootnoteTextChar1">
    <w:name w:val="Footnote Text Char1"/>
    <w:basedOn w:val="DefaultParagraphFont"/>
    <w:link w:val="FootnoteText"/>
    <w:uiPriority w:val="99"/>
    <w:semiHidden/>
    <w:rsid w:val="00C0299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mailto:info@fin.ee" TargetMode="External" /><Relationship Id="rId8" Type="http://schemas.openxmlformats.org/officeDocument/2006/relationships/header" Target="header1.xml" /><Relationship Id="rId9" Type="http://schemas.openxmlformats.org/officeDocument/2006/relationships/header" Target="header2.xml" /></Relationships>
</file>

<file path=word/_rels/footnotes.xml.rels><?xml version="1.0" encoding="utf-8" standalone="yes"?><Relationships xmlns="http://schemas.openxmlformats.org/package/2006/relationships"><Relationship Id="rId1" Type="http://schemas.openxmlformats.org/officeDocument/2006/relationships/hyperlink" Target="https://likumi.lv/ta/en/en/id/76989-law-on-lotteries-of-goods-and-services"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ED70216784EE74DB31C404EA9411A16" ma:contentTypeVersion="7" ma:contentTypeDescription="Izveidot jaunu dokumentu." ma:contentTypeScope="" ma:versionID="9239c0859cce409234e7300afe8f6220">
  <xsd:schema xmlns:xsd="http://www.w3.org/2001/XMLSchema" xmlns:xs="http://www.w3.org/2001/XMLSchema" xmlns:p="http://schemas.microsoft.com/office/2006/metadata/properties" xmlns:ns1="http://schemas.microsoft.com/sharepoint/v3" xmlns:ns2="31e03d30-2e8d-4e33-818d-98013f8c7710" xmlns:ns3="572299aa-60cd-4594-8586-d66157377caf" targetNamespace="http://schemas.microsoft.com/office/2006/metadata/properties" ma:root="true" ma:fieldsID="4568e8d3e1232c8f0458f99f7af59157" ns1:_="" ns2:_="" ns3:_="">
    <xsd:import namespace="http://schemas.microsoft.com/sharepoint/v3"/>
    <xsd:import namespace="31e03d30-2e8d-4e33-818d-98013f8c7710"/>
    <xsd:import namespace="572299aa-60cd-4594-8586-d66157377c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Vienotās atbilstības politikas rekvizīti" ma:hidden="true" ma:internalName="_ip_UnifiedCompliancePolicyProperties">
      <xsd:simpleType>
        <xsd:restriction base="dms:Note"/>
      </xsd:simpleType>
    </xsd:element>
    <xsd:element name="_ip_UnifiedCompliancePolicyUIAction" ma:index="14"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e03d30-2e8d-4e33-818d-98013f8c7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299aa-60cd-4594-8586-d66157377caf"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AE49A-C073-480C-942E-4CB8D0155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e03d30-2e8d-4e33-818d-98013f8c7710"/>
    <ds:schemaRef ds:uri="572299aa-60cd-4594-8586-d66157377c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22C03B-81F8-41C4-90E5-7035D06FBD52}">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2</Pages>
  <Words>1650</Words>
  <Characters>942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Rostoka</dc:creator>
  <cp:lastModifiedBy>Alvis Bless</cp:lastModifiedBy>
  <cp:revision>6</cp:revision>
  <cp:lastPrinted>2015-01-09T14:39:00Z</cp:lastPrinted>
  <dcterms:created xsi:type="dcterms:W3CDTF">2024-02-19T11:36:00Z</dcterms:created>
  <dcterms:modified xsi:type="dcterms:W3CDTF">2025-04-03T07:32:00Z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